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6" w:rsidRPr="009147E6" w:rsidRDefault="009147E6" w:rsidP="00914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b/>
          <w:sz w:val="28"/>
          <w:szCs w:val="28"/>
        </w:rPr>
        <w:t>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Территориальная программа в части определения порядка и условий оказания медицинской помощи должна включать: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перечень лекарственных препаратов, отпускаемых населению  в соответствии с перечнем групп населения и категорий заболеваний,  при амбулаторном лечении которых лекарственные препараты  и медицинские изделия отпускаются по рецептам врачей бесплатно, 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на соответствующий год перечня жизненно необходимых 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 в соответствии с бюджетным законодательством Российской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(по желанию пациента);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 и систем организма человека, а также наркотическими лекарственными препаратами и психотропными лекарственными </w:t>
      </w:r>
      <w:r w:rsidRPr="009147E6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препаратами при посещениях на дому; перечень мероприятий по профилактике заболеваний  и формированию здорового образа жизни, осуществляемых в рамках территориальной программы;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 в том числе в рамках диспансеризации;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 из родителей, иного члена семьи или иного законного представителя  в медицинской организации в стационарных условиях с ребенком  до достижения им возраста 4 лет, а с ребенком старше указанного  возраста - при наличии медицинских показаний;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условия размещения пациентов в маломестных палатах (боксах)  по медицинским и (или) эпидемиологическим показаниям, установленным Министерством здравоохранения Российской Федерации; условия предоставления детям-сиротам и детям, оставшимся 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порядок предоставления транспортных услуг при сопровождении медицинским работником пациента, находящегося на лечении 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условия и сроки диспансеризации для отдельных категорий населения, а также профилактических осмотров несовершеннолетних;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целевые значения критериев доступности и качества медицинской помощи, оказываемой в рамках территориальной программы;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сроки ожидания медицинской помощи, оказываемой в плановой форме, в том числе сроки ожидания оказания медицинской помощи  в стационарных условиях, проведения отдельных диагностических обследований и консультаций врачей-специалистов. При этом: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 в медицинскую организацию; сроки ожидания оказания первичной медико-санитарной помощи  в неотложной форме не должны превышать 2 часа с момента обращения пациента в медицинскую организацию; сроки проведения консультаций </w:t>
      </w:r>
      <w:r w:rsidRPr="009147E6">
        <w:rPr>
          <w:rFonts w:ascii="Times New Roman" w:hAnsi="Times New Roman" w:cs="Times New Roman"/>
          <w:sz w:val="28"/>
          <w:szCs w:val="28"/>
        </w:rPr>
        <w:lastRenderedPageBreak/>
        <w:t xml:space="preserve">врачей-специалистов  (за исключением подозрения на онкологическое заболевание) не должны превышать 14 рабочих дней со дня обращения пациента в медицинскую организацию; сроки проведения консультаций врачей-специалистов в случае подозрения на онкологическое заболевание не должны превышать 3 рабочих дня;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 на онкологическое заболевание);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47E6">
        <w:rPr>
          <w:rFonts w:ascii="Times New Roman" w:hAnsi="Times New Roman" w:cs="Times New Roman"/>
          <w:sz w:val="28"/>
          <w:szCs w:val="28"/>
        </w:rPr>
        <w:t xml:space="preserve">резонансной томографии и ангиографии при оказании первичной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медикосанитарной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помощи (за исключением исследований при подозрении  на онкологическое заболевание) не должны превышать 14 рабочих дней  со дня назначения; сроки проведения диагностических инструментальных 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срок установления диспансерного наблюдения врача-онколога  за пациентом с выявленным онкологическим заболеванием не должен превышать 3 рабочих дня с момента постановки диагноза онкологического заболевания;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 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</w:t>
      </w:r>
      <w:r w:rsidRPr="009147E6">
        <w:rPr>
          <w:rFonts w:ascii="Times New Roman" w:hAnsi="Times New Roman" w:cs="Times New Roman"/>
          <w:sz w:val="28"/>
          <w:szCs w:val="28"/>
        </w:rPr>
        <w:lastRenderedPageBreak/>
        <w:t>лист ожидания специализированной медицинской помощи, оказываемой в плановой форме, и осуществляется информирование граждан в доступной форме, 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При формировании территориальной программы учитываются: порядки оказания медицинской помощи, стандарты медицинской помощи и клинические рекомендации; особенности половозрастного состава населения субъекта Российской Федерации; уровень и структура заболеваемости населения субъекта Российской Федерации, основанные на данных медицинской статистики; климатические и географические особенности региона и транспортная доступность медицинских организаций;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 об обязательном медицинском страховании; положения региональной программы модернизации первичного звена здравоохранения, в том числе в части обеспечения создаваемой  и модернизируемой инфраструктуры медицинских организаций. 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E6" w:rsidRPr="009147E6" w:rsidRDefault="009147E6" w:rsidP="009147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E6">
        <w:rPr>
          <w:rFonts w:ascii="Times New Roman" w:hAnsi="Times New Roman" w:cs="Times New Roman"/>
          <w:b/>
          <w:sz w:val="28"/>
          <w:szCs w:val="28"/>
        </w:rPr>
        <w:t>IX. Критерии доступности и качества медицинской помощи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E6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 удовлетворенность населения доступностью медицинской помощи,  в том числе городского и сельского населения (процентов числа опрошенных); доля расходов на оказание медицинской помощи в условиях дневных стационаров в общих расходах на территориальную программу; доля расходов на оказание медицинской помощи в амбулаторных условиях в неотложной форме в общих расходах на территориальную программу;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помощь в стационарных условиях в рамках территориальной программы обязательного медицинского страхования; доля посещений выездной патронажной службой на дому  для оказания паллиативной медицинской помощи детскому населению  в общем количестве посещений по паллиативной медицинской помощи детскому населению;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 xml:space="preserve">число пациентов, которым оказана паллиативная </w:t>
      </w:r>
      <w:r w:rsidRPr="009147E6">
        <w:rPr>
          <w:rFonts w:ascii="Times New Roman" w:hAnsi="Times New Roman" w:cs="Times New Roman"/>
          <w:sz w:val="28"/>
          <w:szCs w:val="28"/>
        </w:rPr>
        <w:lastRenderedPageBreak/>
        <w:t>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 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 у несовершеннолетних;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 доля пациентов со злокачественными новообразованиями, взятых под диспансерное наблюдение, в общем количестве пациентов  со злокачественными новообразованиями; доля пациентов с инфарктом миокарда, госпитализированных 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миокарда; доля пациентов с острым инфарктом миокарда, которым проведено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 с острым инфарктом миокарда, имеющих показания к его проведению; </w:t>
      </w:r>
    </w:p>
    <w:p w:rsidR="009147E6" w:rsidRPr="009147E6" w:rsidRDefault="009147E6" w:rsidP="00914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проведению;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доля пациентов с острым ишемическим инсультом, которым проведена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заболевания; доля пациентов с острым ишемическим инсультом, </w:t>
      </w:r>
      <w:r w:rsidRPr="009147E6">
        <w:rPr>
          <w:rFonts w:ascii="Times New Roman" w:hAnsi="Times New Roman" w:cs="Times New Roman"/>
          <w:sz w:val="28"/>
          <w:szCs w:val="28"/>
        </w:rPr>
        <w:lastRenderedPageBreak/>
        <w:t xml:space="preserve">которым проведена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 с острым ишемическим инсультом, госпитализированных в первичные сосудистые отделения или региональные сосудистые центры;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 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 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 </w:t>
      </w:r>
    </w:p>
    <w:p w:rsidR="00DA4C03" w:rsidRDefault="009147E6" w:rsidP="009147E6">
      <w:pPr>
        <w:ind w:firstLine="567"/>
        <w:jc w:val="both"/>
      </w:pPr>
      <w:r w:rsidRPr="009147E6">
        <w:rPr>
          <w:rFonts w:ascii="Times New Roman" w:hAnsi="Times New Roman" w:cs="Times New Roman"/>
          <w:sz w:val="28"/>
          <w:szCs w:val="28"/>
        </w:rP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 </w:t>
      </w:r>
      <w:proofErr w:type="gramStart"/>
      <w:r w:rsidRPr="009147E6">
        <w:rPr>
          <w:rFonts w:ascii="Times New Roman" w:hAnsi="Times New Roman" w:cs="Times New Roman"/>
          <w:sz w:val="28"/>
          <w:szCs w:val="28"/>
        </w:rPr>
        <w:t xml:space="preserve"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 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9147E6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9147E6">
        <w:rPr>
          <w:rFonts w:ascii="Times New Roman" w:hAnsi="Times New Roman" w:cs="Times New Roman"/>
          <w:sz w:val="28"/>
          <w:szCs w:val="28"/>
        </w:rP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 не менее 70 процентов);</w:t>
      </w:r>
      <w:proofErr w:type="gramEnd"/>
      <w:r w:rsidRPr="009147E6">
        <w:rPr>
          <w:rFonts w:ascii="Times New Roman" w:hAnsi="Times New Roman" w:cs="Times New Roman"/>
          <w:sz w:val="28"/>
          <w:szCs w:val="28"/>
        </w:rPr>
        <w:t xml:space="preserve"> 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</w:t>
      </w:r>
      <w:r>
        <w:t>).</w:t>
      </w:r>
    </w:p>
    <w:sectPr w:rsidR="00DA4C03" w:rsidSect="009147E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7E6"/>
    <w:rsid w:val="003921E6"/>
    <w:rsid w:val="009147E6"/>
    <w:rsid w:val="00C40104"/>
    <w:rsid w:val="00DA4C03"/>
    <w:rsid w:val="00E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13285</Characters>
  <Application>Microsoft Office Word</Application>
  <DocSecurity>0</DocSecurity>
  <Lines>110</Lines>
  <Paragraphs>31</Paragraphs>
  <ScaleCrop>false</ScaleCrop>
  <Company>Krokoz™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lv.arsentyeva</dc:creator>
  <cp:lastModifiedBy>lv.arsentyeva</cp:lastModifiedBy>
  <cp:revision>1</cp:revision>
  <dcterms:created xsi:type="dcterms:W3CDTF">2021-02-20T06:38:00Z</dcterms:created>
  <dcterms:modified xsi:type="dcterms:W3CDTF">2021-02-20T06:43:00Z</dcterms:modified>
</cp:coreProperties>
</file>